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00"/>
        <w:jc w:val="center"/>
        <w:rPr>
          <w:rFonts w:ascii="Segoe UI Emoji" w:hAnsi="Segoe UI Emoji" w:cs="Segoe UI Emoji"/>
          <w:sz w:val="40"/>
          <w:szCs w:val="44"/>
        </w:rPr>
      </w:pPr>
    </w:p>
    <w:p>
      <w:pPr>
        <w:ind w:firstLine="800"/>
        <w:jc w:val="center"/>
        <w:rPr>
          <w:rFonts w:ascii="Segoe UI Emoji" w:hAnsi="Segoe UI Emoji" w:cs="Segoe UI Emoji"/>
          <w:sz w:val="40"/>
          <w:szCs w:val="44"/>
        </w:rPr>
      </w:pPr>
    </w:p>
    <w:p>
      <w:pPr>
        <w:ind w:firstLine="800"/>
        <w:jc w:val="center"/>
        <w:rPr>
          <w:rFonts w:ascii="Segoe UI Emoji" w:hAnsi="Segoe UI Emoji" w:cs="Segoe UI Emoji"/>
          <w:sz w:val="40"/>
          <w:szCs w:val="44"/>
        </w:rPr>
      </w:pPr>
    </w:p>
    <w:p>
      <w:pPr>
        <w:ind w:firstLine="0" w:firstLineChars="0"/>
        <w:jc w:val="center"/>
        <w:rPr>
          <w:rFonts w:hint="eastAsia" w:ascii="微软雅黑" w:hAnsi="微软雅黑" w:eastAsia="微软雅黑" w:cs="Segoe UI Emoji"/>
          <w:b/>
          <w:bCs/>
          <w:sz w:val="52"/>
          <w:szCs w:val="52"/>
          <w:lang w:eastAsia="zh-CN"/>
        </w:rPr>
      </w:pPr>
      <w:r>
        <w:rPr>
          <w:rFonts w:hint="eastAsia" w:ascii="微软雅黑" w:hAnsi="微软雅黑" w:eastAsia="微软雅黑" w:cs="Segoe UI Emoji"/>
          <w:b/>
          <w:bCs/>
          <w:sz w:val="52"/>
          <w:szCs w:val="52"/>
          <w:lang w:eastAsia="zh-CN"/>
        </w:rPr>
        <w:t>浙江涵普电力科技有限公司</w:t>
      </w:r>
    </w:p>
    <w:p>
      <w:pPr>
        <w:ind w:firstLine="0" w:firstLineChars="0"/>
        <w:jc w:val="center"/>
        <w:rPr>
          <w:rFonts w:ascii="微软雅黑" w:hAnsi="微软雅黑" w:eastAsia="微软雅黑" w:cs="Segoe UI Emoji"/>
          <w:b/>
          <w:bCs/>
          <w:sz w:val="52"/>
          <w:szCs w:val="52"/>
        </w:rPr>
      </w:pPr>
      <w:r>
        <w:rPr>
          <w:rFonts w:hint="eastAsia" w:ascii="微软雅黑" w:hAnsi="微软雅黑" w:eastAsia="微软雅黑" w:cs="Segoe UI Emoji"/>
          <w:b/>
          <w:bCs/>
          <w:sz w:val="52"/>
          <w:szCs w:val="52"/>
        </w:rPr>
        <w:t>202</w:t>
      </w:r>
      <w:r>
        <w:rPr>
          <w:rFonts w:hint="eastAsia" w:ascii="微软雅黑" w:hAnsi="微软雅黑" w:eastAsia="微软雅黑" w:cs="Segoe UI Emoji"/>
          <w:b/>
          <w:bCs/>
          <w:sz w:val="52"/>
          <w:szCs w:val="52"/>
          <w:lang w:val="en-US" w:eastAsia="zh-CN"/>
        </w:rPr>
        <w:t>3</w:t>
      </w:r>
      <w:r>
        <w:rPr>
          <w:rFonts w:hint="eastAsia" w:ascii="微软雅黑" w:hAnsi="微软雅黑" w:eastAsia="微软雅黑" w:cs="Segoe UI Emoji"/>
          <w:b/>
          <w:bCs/>
          <w:sz w:val="52"/>
          <w:szCs w:val="52"/>
        </w:rPr>
        <w:t>年度环境信息依法披露报告</w:t>
      </w:r>
    </w:p>
    <w:p>
      <w:pPr>
        <w:ind w:firstLine="0" w:firstLineChars="0"/>
        <w:jc w:val="center"/>
        <w:rPr>
          <w:rFonts w:ascii="Segoe UI Emoji" w:hAnsi="Segoe UI Emoji" w:cs="Segoe UI Emoji"/>
        </w:rPr>
      </w:pPr>
    </w:p>
    <w:p>
      <w:pPr>
        <w:ind w:firstLine="480"/>
        <w:jc w:val="center"/>
        <w:rPr>
          <w:rFonts w:ascii="Segoe UI Emoji" w:hAnsi="Segoe UI Emoji" w:cs="Segoe UI Emoji"/>
        </w:rPr>
      </w:pPr>
    </w:p>
    <w:p>
      <w:pPr>
        <w:ind w:firstLine="480"/>
        <w:jc w:val="center"/>
        <w:rPr>
          <w:rFonts w:ascii="Segoe UI Emoji" w:hAnsi="Segoe UI Emoji" w:cs="Segoe UI Emoji"/>
        </w:rPr>
      </w:pPr>
    </w:p>
    <w:p>
      <w:pPr>
        <w:ind w:firstLine="480"/>
        <w:jc w:val="center"/>
        <w:rPr>
          <w:rFonts w:ascii="Segoe UI Emoji" w:hAnsi="Segoe UI Emoji" w:cs="Segoe UI Emoji"/>
        </w:rPr>
      </w:pPr>
    </w:p>
    <w:p>
      <w:pPr>
        <w:ind w:firstLine="480"/>
        <w:jc w:val="center"/>
        <w:rPr>
          <w:rFonts w:ascii="Segoe UI Emoji" w:hAnsi="Segoe UI Emoji" w:cs="Segoe UI Emoji"/>
        </w:rPr>
      </w:pPr>
    </w:p>
    <w:p>
      <w:pPr>
        <w:ind w:firstLine="480"/>
        <w:jc w:val="center"/>
        <w:rPr>
          <w:rFonts w:ascii="Segoe UI Emoji" w:hAnsi="Segoe UI Emoji" w:cs="Segoe UI Emoji"/>
        </w:rPr>
      </w:pPr>
    </w:p>
    <w:p>
      <w:pPr>
        <w:ind w:firstLine="480"/>
        <w:jc w:val="center"/>
        <w:rPr>
          <w:rFonts w:ascii="Segoe UI Emoji" w:hAnsi="Segoe UI Emoji" w:cs="Segoe UI Emoji"/>
        </w:rPr>
      </w:pPr>
    </w:p>
    <w:p>
      <w:pPr>
        <w:ind w:left="0" w:leftChars="0" w:firstLine="0" w:firstLineChars="0"/>
        <w:jc w:val="both"/>
        <w:rPr>
          <w:rFonts w:ascii="Segoe UI Emoji" w:hAnsi="Segoe UI Emoji" w:cs="Segoe UI Emoji"/>
        </w:rPr>
      </w:pPr>
    </w:p>
    <w:p>
      <w:pPr>
        <w:ind w:firstLine="560"/>
        <w:jc w:val="center"/>
        <w:rPr>
          <w:rFonts w:ascii="Segoe UI Emoji" w:hAnsi="Segoe UI Emoji" w:cs="Segoe UI Emoji"/>
          <w:sz w:val="28"/>
          <w:szCs w:val="32"/>
        </w:rPr>
      </w:pPr>
    </w:p>
    <w:p>
      <w:pPr>
        <w:ind w:firstLine="0" w:firstLineChars="0"/>
        <w:jc w:val="center"/>
        <w:rPr>
          <w:rFonts w:ascii="Segoe UI Emoji" w:hAnsi="Segoe UI Emoji" w:cs="Segoe UI Emoji"/>
          <w:sz w:val="28"/>
          <w:szCs w:val="32"/>
        </w:rPr>
      </w:pPr>
    </w:p>
    <w:p>
      <w:pPr>
        <w:ind w:firstLine="0" w:firstLineChars="0"/>
        <w:jc w:val="center"/>
        <w:rPr>
          <w:rFonts w:ascii="Segoe UI Emoji" w:hAnsi="Segoe UI Emoji" w:cs="Segoe UI Emoji"/>
          <w:sz w:val="28"/>
          <w:szCs w:val="32"/>
        </w:rPr>
      </w:pPr>
    </w:p>
    <w:p>
      <w:pPr>
        <w:ind w:firstLine="0" w:firstLineChars="0"/>
        <w:jc w:val="center"/>
        <w:rPr>
          <w:rFonts w:ascii="Segoe UI Emoji" w:hAnsi="Segoe UI Emoji" w:cs="Segoe UI Emoji"/>
          <w:sz w:val="28"/>
          <w:szCs w:val="32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  <w:r>
        <w:rPr>
          <w:rFonts w:hint="eastAsia" w:ascii="Segoe UI Emoji" w:hAnsi="Segoe UI Emoji" w:cs="Segoe UI Emoji"/>
          <w:sz w:val="28"/>
          <w:szCs w:val="32"/>
        </w:rPr>
        <w:t>202</w:t>
      </w:r>
      <w:r>
        <w:rPr>
          <w:rFonts w:hint="eastAsia" w:ascii="Segoe UI Emoji" w:hAnsi="Segoe UI Emoji" w:cs="Segoe UI Emoji"/>
          <w:sz w:val="28"/>
          <w:szCs w:val="32"/>
          <w:lang w:val="en-US" w:eastAsia="zh-CN"/>
        </w:rPr>
        <w:t>4</w:t>
      </w:r>
      <w:r>
        <w:rPr>
          <w:rFonts w:hint="eastAsia" w:ascii="Segoe UI Emoji" w:hAnsi="Segoe UI Emoji" w:cs="Segoe UI Emoji"/>
          <w:sz w:val="28"/>
          <w:szCs w:val="32"/>
        </w:rPr>
        <w:t>年</w:t>
      </w:r>
      <w:r>
        <w:rPr>
          <w:rFonts w:hint="eastAsia" w:ascii="Segoe UI Emoji" w:hAnsi="Segoe UI Emoji" w:cs="Segoe UI Emoji"/>
          <w:sz w:val="28"/>
          <w:szCs w:val="32"/>
          <w:lang w:val="en-US" w:eastAsia="zh-CN"/>
        </w:rPr>
        <w:t>2</w:t>
      </w:r>
      <w:r>
        <w:rPr>
          <w:rFonts w:hint="eastAsia" w:ascii="Segoe UI Emoji" w:hAnsi="Segoe UI Emoji" w:cs="Segoe UI Emoji"/>
          <w:sz w:val="28"/>
          <w:szCs w:val="32"/>
        </w:rPr>
        <w:t>月</w:t>
      </w:r>
    </w:p>
    <w:p>
      <w:pPr>
        <w:pStyle w:val="3"/>
        <w:ind w:firstLine="643"/>
        <w:jc w:val="center"/>
      </w:pPr>
      <w:bookmarkStart w:id="0" w:name="_Toc98257177"/>
      <w:r>
        <w:rPr>
          <w:rFonts w:hint="eastAsia"/>
        </w:rPr>
        <w:t>企业负责人和环保负责人声明</w:t>
      </w:r>
      <w:bookmarkEnd w:id="0"/>
    </w:p>
    <w:p>
      <w:pPr>
        <w:ind w:firstLine="0" w:firstLineChars="0"/>
        <w:rPr>
          <w:shd w:val="clear" w:color="auto" w:fill="FFFFFF"/>
        </w:rPr>
      </w:pPr>
    </w:p>
    <w:p>
      <w:pPr>
        <w:ind w:firstLine="0" w:firstLineChars="0"/>
        <w:rPr>
          <w:shd w:val="clear" w:color="auto" w:fill="FFFFFF"/>
        </w:rPr>
      </w:pPr>
      <w:r>
        <w:rPr>
          <w:rFonts w:hint="eastAsia"/>
          <w:shd w:val="clear" w:color="auto" w:fill="FFFFFF"/>
          <w:lang w:val="en-US" w:eastAsia="zh-CN"/>
        </w:rPr>
        <w:t>嘉兴市生态环境局海盐分局</w:t>
      </w:r>
      <w:r>
        <w:rPr>
          <w:rFonts w:hint="eastAsia"/>
          <w:shd w:val="clear" w:color="auto" w:fill="FFFFFF"/>
        </w:rPr>
        <w:t>：</w:t>
      </w:r>
    </w:p>
    <w:p>
      <w:pPr>
        <w:ind w:firstLine="480"/>
        <w:rPr>
          <w:shd w:val="clear" w:color="auto" w:fill="FFFFFF"/>
        </w:rPr>
      </w:pPr>
      <w:r>
        <w:rPr>
          <w:rFonts w:hint="eastAsia"/>
          <w:shd w:val="clear" w:color="auto" w:fill="FFFFFF"/>
        </w:rPr>
        <w:t>根据《 企业环境信息依法披露管理办法》及《企业环境信息依法披露格式准则》内容，</w:t>
      </w:r>
      <w:r>
        <w:rPr>
          <w:rFonts w:hint="eastAsia"/>
          <w:shd w:val="clear" w:color="auto" w:fill="FFFFFF"/>
          <w:lang w:val="en-US" w:eastAsia="zh-CN"/>
        </w:rPr>
        <w:t>浙江涵普电力科技有限公司</w:t>
      </w:r>
      <w:r>
        <w:rPr>
          <w:rFonts w:hint="eastAsia"/>
          <w:shd w:val="clear" w:color="auto" w:fill="FFFFFF"/>
        </w:rPr>
        <w:t>完成编制了本企业202</w:t>
      </w:r>
      <w:r>
        <w:rPr>
          <w:rFonts w:hint="eastAsia"/>
          <w:shd w:val="clear" w:color="auto" w:fill="FFFFFF"/>
          <w:lang w:val="en-US" w:eastAsia="zh-CN"/>
        </w:rPr>
        <w:t>3</w:t>
      </w:r>
      <w:r>
        <w:rPr>
          <w:rFonts w:hint="eastAsia"/>
          <w:shd w:val="clear" w:color="auto" w:fill="FFFFFF"/>
        </w:rPr>
        <w:t>年度环境信息公开报告，其中不涉及国家秘密和企业商业秘密，现委托贵局在政务网站进行全本公开并接受社会公众监督。</w:t>
      </w:r>
    </w:p>
    <w:p>
      <w:pPr>
        <w:ind w:firstLine="480"/>
        <w:rPr>
          <w:shd w:val="clear" w:color="auto" w:fill="FFFFFF"/>
        </w:rPr>
      </w:pPr>
      <w:r>
        <w:rPr>
          <w:rFonts w:hint="eastAsia"/>
          <w:shd w:val="clear" w:color="auto" w:fill="FFFFFF"/>
        </w:rPr>
        <w:t>我公司愿对本报告中的内容的真实性、准确性、完整性及合法性负责，不存在虚假记载、误导性陈述或重大遗漏，并承担与上述内容公开相关的法律责任。</w:t>
      </w:r>
    </w:p>
    <w:p>
      <w:pPr>
        <w:ind w:firstLine="480"/>
        <w:rPr>
          <w:shd w:val="clear" w:color="auto" w:fill="FFFFFF"/>
        </w:rPr>
      </w:pPr>
    </w:p>
    <w:p>
      <w:pPr>
        <w:ind w:firstLine="480"/>
        <w:rPr>
          <w:shd w:val="clear" w:color="auto" w:fill="FFFFFF"/>
        </w:rPr>
      </w:pPr>
    </w:p>
    <w:p>
      <w:pPr>
        <w:ind w:firstLine="480"/>
        <w:rPr>
          <w:shd w:val="clear" w:color="auto" w:fill="FFFFFF"/>
        </w:rPr>
      </w:pPr>
    </w:p>
    <w:p>
      <w:pPr>
        <w:ind w:firstLine="480"/>
        <w:rPr>
          <w:shd w:val="clear" w:color="auto" w:fill="FFFFFF"/>
        </w:rPr>
      </w:pPr>
    </w:p>
    <w:p>
      <w:pPr>
        <w:ind w:firstLine="480"/>
        <w:jc w:val="right"/>
        <w:rPr>
          <w:rFonts w:hint="eastAsia"/>
          <w:shd w:val="clear" w:color="auto" w:fill="FFFFFF"/>
        </w:rPr>
      </w:pPr>
    </w:p>
    <w:p>
      <w:pPr>
        <w:ind w:firstLine="480"/>
        <w:jc w:val="right"/>
        <w:rPr>
          <w:shd w:val="clear" w:color="auto" w:fill="FFFFFF"/>
        </w:rPr>
      </w:pPr>
      <w:r>
        <w:rPr>
          <w:rFonts w:hint="eastAsia"/>
          <w:shd w:val="clear" w:color="auto" w:fill="FFFFFF"/>
          <w:lang w:val="en-US" w:eastAsia="zh-CN"/>
        </w:rPr>
        <w:t>浙江涵普电力科技有限公司</w:t>
      </w:r>
      <w:r>
        <w:rPr>
          <w:rFonts w:hint="eastAsia"/>
          <w:shd w:val="clear" w:color="auto" w:fill="FFFFFF"/>
        </w:rPr>
        <w:t>（盖章）</w:t>
      </w:r>
    </w:p>
    <w:p>
      <w:pPr>
        <w:ind w:firstLine="480"/>
        <w:jc w:val="right"/>
      </w:pPr>
      <w:r>
        <w:rPr>
          <w:rFonts w:hint="eastAsia"/>
          <w:shd w:val="clear" w:color="auto" w:fill="FFFFFF"/>
        </w:rPr>
        <w:t>202</w:t>
      </w:r>
      <w:r>
        <w:rPr>
          <w:rFonts w:hint="eastAsia"/>
          <w:shd w:val="clear" w:color="auto" w:fill="FFFFFF"/>
          <w:lang w:val="en-US" w:eastAsia="zh-CN"/>
        </w:rPr>
        <w:t>4</w:t>
      </w:r>
      <w:r>
        <w:rPr>
          <w:rFonts w:hint="eastAsia"/>
          <w:shd w:val="clear" w:color="auto" w:fill="FFFFFF"/>
        </w:rPr>
        <w:t>年</w:t>
      </w:r>
      <w:r>
        <w:rPr>
          <w:rFonts w:hint="eastAsia"/>
          <w:shd w:val="clear" w:color="auto" w:fill="FFFFFF"/>
          <w:lang w:val="en-US" w:eastAsia="zh-CN"/>
        </w:rPr>
        <w:t>2</w:t>
      </w:r>
      <w:r>
        <w:rPr>
          <w:rFonts w:hint="eastAsia"/>
          <w:shd w:val="clear" w:color="auto" w:fill="FFFFFF"/>
        </w:rPr>
        <w:t>月</w:t>
      </w:r>
      <w:r>
        <w:rPr>
          <w:rFonts w:hint="eastAsia"/>
          <w:shd w:val="clear" w:color="auto" w:fill="FFFFFF"/>
          <w:lang w:val="en-US" w:eastAsia="zh-CN"/>
        </w:rPr>
        <w:t>5</w:t>
      </w:r>
      <w:r>
        <w:rPr>
          <w:rFonts w:hint="eastAsia"/>
          <w:shd w:val="clear" w:color="auto" w:fill="FFFFFF"/>
        </w:rPr>
        <w:t>日</w:t>
      </w:r>
      <w:r>
        <w:br w:type="page"/>
      </w:r>
    </w:p>
    <w:p>
      <w:pPr>
        <w:pStyle w:val="3"/>
        <w:ind w:firstLine="643"/>
        <w:jc w:val="center"/>
      </w:pPr>
      <w:bookmarkStart w:id="1" w:name="_Toc98257178"/>
      <w:r>
        <w:rPr>
          <w:rFonts w:hint="eastAsia"/>
        </w:rPr>
        <w:t>术语和名词解释</w:t>
      </w:r>
      <w:bookmarkEnd w:id="1"/>
    </w:p>
    <w:p>
      <w:pPr>
        <w:ind w:firstLine="480"/>
      </w:pPr>
    </w:p>
    <w:p>
      <w:pPr>
        <w:ind w:firstLine="480"/>
      </w:pPr>
      <w:r>
        <w:rPr>
          <w:rFonts w:hint="eastAsia"/>
        </w:rPr>
        <w:t>本报告所涉及到的术语及名词解释如下：</w:t>
      </w:r>
    </w:p>
    <w:p>
      <w:pPr>
        <w:ind w:firstLine="480"/>
      </w:pPr>
    </w:p>
    <w:p>
      <w:pPr>
        <w:ind w:firstLine="480"/>
      </w:pPr>
    </w:p>
    <w:p>
      <w:pPr>
        <w:tabs>
          <w:tab w:val="left" w:pos="1790"/>
        </w:tabs>
        <w:ind w:firstLine="480"/>
      </w:pPr>
      <w:r>
        <w:tab/>
      </w: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sdt>
      <w:sdtPr>
        <w:rPr>
          <w:rFonts w:eastAsia="宋体" w:asciiTheme="minorHAnsi" w:hAnsiTheme="minorHAnsi" w:cstheme="minorBidi"/>
          <w:color w:val="auto"/>
          <w:kern w:val="2"/>
          <w:sz w:val="24"/>
          <w:szCs w:val="22"/>
          <w:lang w:val="zh-CN"/>
        </w:rPr>
        <w:id w:val="-611122453"/>
        <w:docPartObj>
          <w:docPartGallery w:val="Table of Contents"/>
          <w:docPartUnique/>
        </w:docPartObj>
      </w:sdtPr>
      <w:sdtEndPr>
        <w:rPr>
          <w:rFonts w:eastAsia="宋体" w:asciiTheme="minorHAnsi" w:hAnsiTheme="minorHAnsi" w:cstheme="minorBidi"/>
          <w:b/>
          <w:bCs/>
          <w:color w:val="auto"/>
          <w:kern w:val="2"/>
          <w:sz w:val="24"/>
          <w:szCs w:val="22"/>
          <w:lang w:val="zh-CN"/>
        </w:rPr>
      </w:sdtEndPr>
      <w:sdtContent>
        <w:p>
          <w:pPr>
            <w:pStyle w:val="21"/>
            <w:ind w:firstLine="640"/>
            <w:jc w:val="center"/>
            <w:rPr>
              <w:rFonts w:ascii="微软雅黑" w:hAnsi="微软雅黑" w:eastAsia="微软雅黑"/>
              <w:color w:val="auto"/>
              <w:sz w:val="36"/>
              <w:szCs w:val="36"/>
            </w:rPr>
          </w:pPr>
          <w:r>
            <w:rPr>
              <w:rFonts w:ascii="微软雅黑" w:hAnsi="微软雅黑" w:eastAsia="微软雅黑"/>
              <w:color w:val="auto"/>
              <w:sz w:val="36"/>
              <w:szCs w:val="36"/>
              <w:lang w:val="zh-CN"/>
            </w:rPr>
            <w:t>目</w:t>
          </w:r>
          <w:r>
            <w:rPr>
              <w:rFonts w:hint="eastAsia" w:ascii="微软雅黑" w:hAnsi="微软雅黑" w:eastAsia="微软雅黑"/>
              <w:color w:val="auto"/>
              <w:sz w:val="36"/>
              <w:szCs w:val="36"/>
              <w:lang w:val="zh-CN"/>
            </w:rPr>
            <w:t xml:space="preserve"> </w:t>
          </w:r>
          <w:r>
            <w:rPr>
              <w:rFonts w:ascii="微软雅黑" w:hAnsi="微软雅黑" w:eastAsia="微软雅黑"/>
              <w:color w:val="auto"/>
              <w:sz w:val="36"/>
              <w:szCs w:val="36"/>
              <w:lang w:val="zh-CN"/>
            </w:rPr>
            <w:t xml:space="preserve"> 录</w:t>
          </w:r>
        </w:p>
        <w:p>
          <w:pPr>
            <w:pStyle w:val="11"/>
            <w:ind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"_Toc98257177" </w:instrText>
          </w:r>
          <w:r>
            <w:fldChar w:fldCharType="separate"/>
          </w:r>
          <w:r>
            <w:rPr>
              <w:rStyle w:val="15"/>
            </w:rPr>
            <w:t>企业负责人和环保负责人声明</w:t>
          </w:r>
          <w:r>
            <w:tab/>
          </w:r>
          <w:r>
            <w:fldChar w:fldCharType="begin"/>
          </w:r>
          <w:r>
            <w:instrText xml:space="preserve"> PAGEREF _Toc98257177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1"/>
            <w:ind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"_Toc98257178" </w:instrText>
          </w:r>
          <w:r>
            <w:fldChar w:fldCharType="separate"/>
          </w:r>
          <w:r>
            <w:rPr>
              <w:rStyle w:val="15"/>
            </w:rPr>
            <w:t>术语和名词解释</w:t>
          </w:r>
          <w:r>
            <w:tab/>
          </w:r>
          <w:r>
            <w:fldChar w:fldCharType="begin"/>
          </w:r>
          <w:r>
            <w:instrText xml:space="preserve"> PAGEREF _Toc98257178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1"/>
            <w:ind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"_Toc98257179" </w:instrText>
          </w:r>
          <w:r>
            <w:fldChar w:fldCharType="separate"/>
          </w:r>
          <w:r>
            <w:rPr>
              <w:rStyle w:val="15"/>
            </w:rPr>
            <w:t>一、企业关键环境信息提要</w:t>
          </w:r>
          <w:r>
            <w:tab/>
          </w:r>
          <w:r>
            <w:fldChar w:fldCharType="begin"/>
          </w:r>
          <w:r>
            <w:instrText xml:space="preserve"> PAGEREF _Toc98257179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1"/>
            <w:ind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"_Toc98257180" </w:instrText>
          </w:r>
          <w:r>
            <w:fldChar w:fldCharType="separate"/>
          </w:r>
          <w:r>
            <w:rPr>
              <w:rStyle w:val="15"/>
            </w:rPr>
            <w:t>二、企业基本信息</w:t>
          </w:r>
          <w:r>
            <w:tab/>
          </w:r>
          <w:r>
            <w:fldChar w:fldCharType="begin"/>
          </w:r>
          <w:r>
            <w:instrText xml:space="preserve"> PAGEREF _Toc98257180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11"/>
            <w:ind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"_Toc98257181" </w:instrText>
          </w:r>
          <w:r>
            <w:fldChar w:fldCharType="separate"/>
          </w:r>
          <w:r>
            <w:rPr>
              <w:rStyle w:val="15"/>
            </w:rPr>
            <w:t>三、企业环境管理信息</w:t>
          </w:r>
          <w:r>
            <w:tab/>
          </w:r>
          <w:r>
            <w:fldChar w:fldCharType="begin"/>
          </w:r>
          <w:r>
            <w:instrText xml:space="preserve"> PAGEREF _Toc98257181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left="48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"_Toc98257182" </w:instrText>
          </w:r>
          <w:r>
            <w:fldChar w:fldCharType="separate"/>
          </w:r>
          <w:r>
            <w:rPr>
              <w:rStyle w:val="15"/>
            </w:rPr>
            <w:t>3.1 企业生态环境行政许可情况</w:t>
          </w:r>
          <w:r>
            <w:tab/>
          </w:r>
          <w:r>
            <w:fldChar w:fldCharType="begin"/>
          </w:r>
          <w:r>
            <w:instrText xml:space="preserve"> PAGEREF _Toc98257182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left="48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"_Toc98257183" </w:instrText>
          </w:r>
          <w:r>
            <w:fldChar w:fldCharType="separate"/>
          </w:r>
          <w:r>
            <w:rPr>
              <w:rStyle w:val="15"/>
            </w:rPr>
            <w:t>3.2 环境保护税缴纳情况</w:t>
          </w:r>
          <w:r>
            <w:tab/>
          </w:r>
          <w:r>
            <w:fldChar w:fldCharType="begin"/>
          </w:r>
          <w:r>
            <w:instrText xml:space="preserve"> PAGEREF _Toc98257183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left="48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"_Toc98257184" </w:instrText>
          </w:r>
          <w:r>
            <w:fldChar w:fldCharType="separate"/>
          </w:r>
          <w:r>
            <w:rPr>
              <w:rStyle w:val="15"/>
            </w:rPr>
            <w:t>3.3 环境污染责任保险投保情况</w:t>
          </w:r>
          <w:r>
            <w:tab/>
          </w:r>
          <w:r>
            <w:fldChar w:fldCharType="begin"/>
          </w:r>
          <w:r>
            <w:instrText xml:space="preserve"> PAGEREF _Toc98257184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left="48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"_Toc98257185" </w:instrText>
          </w:r>
          <w:r>
            <w:fldChar w:fldCharType="separate"/>
          </w:r>
          <w:r>
            <w:rPr>
              <w:rStyle w:val="15"/>
            </w:rPr>
            <w:t>3.4 环保信用评价结果</w:t>
          </w:r>
          <w:r>
            <w:tab/>
          </w:r>
          <w:r>
            <w:fldChar w:fldCharType="begin"/>
          </w:r>
          <w:r>
            <w:instrText xml:space="preserve"> PAGEREF _Toc98257185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11"/>
            <w:ind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"_Toc98257186" </w:instrText>
          </w:r>
          <w:r>
            <w:fldChar w:fldCharType="separate"/>
          </w:r>
          <w:r>
            <w:rPr>
              <w:rStyle w:val="15"/>
            </w:rPr>
            <w:t>四、污染物产生、治理与排放信息</w:t>
          </w:r>
          <w:r>
            <w:tab/>
          </w:r>
          <w:r>
            <w:fldChar w:fldCharType="begin"/>
          </w:r>
          <w:r>
            <w:instrText xml:space="preserve"> PAGEREF _Toc98257186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left="48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"_Toc98257187" </w:instrText>
          </w:r>
          <w:r>
            <w:fldChar w:fldCharType="separate"/>
          </w:r>
          <w:r>
            <w:rPr>
              <w:rStyle w:val="15"/>
            </w:rPr>
            <w:t>4.1 污染防治设施信息</w:t>
          </w:r>
          <w:r>
            <w:tab/>
          </w:r>
          <w:r>
            <w:fldChar w:fldCharType="begin"/>
          </w:r>
          <w:r>
            <w:instrText xml:space="preserve"> PAGEREF _Toc98257187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right" w:leader="dot" w:pos="8296"/>
            </w:tabs>
            <w:ind w:left="96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"_Toc98257188" </w:instrText>
          </w:r>
          <w:r>
            <w:fldChar w:fldCharType="separate"/>
          </w:r>
          <w:r>
            <w:rPr>
              <w:rStyle w:val="15"/>
            </w:rPr>
            <w:t>4.1.1 污染物防治设施的名称、对应的产污环节及处理污染物等</w:t>
          </w:r>
          <w:r>
            <w:tab/>
          </w:r>
          <w:r>
            <w:fldChar w:fldCharType="begin"/>
          </w:r>
          <w:r>
            <w:instrText xml:space="preserve"> PAGEREF _Toc98257188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right" w:leader="dot" w:pos="8296"/>
            </w:tabs>
            <w:ind w:left="96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"_Toc98257189" </w:instrText>
          </w:r>
          <w:r>
            <w:fldChar w:fldCharType="separate"/>
          </w:r>
          <w:r>
            <w:rPr>
              <w:rStyle w:val="15"/>
            </w:rPr>
            <w:t>4.1.2 年度非正常运营的设施名称、排放的污染物情况</w:t>
          </w:r>
          <w:r>
            <w:tab/>
          </w:r>
          <w:r>
            <w:fldChar w:fldCharType="begin"/>
          </w:r>
          <w:r>
            <w:instrText xml:space="preserve"> PAGEREF _Toc98257189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right" w:leader="dot" w:pos="8296"/>
            </w:tabs>
            <w:ind w:left="96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"_Toc98257190" </w:instrText>
          </w:r>
          <w:r>
            <w:fldChar w:fldCharType="separate"/>
          </w:r>
          <w:r>
            <w:rPr>
              <w:rStyle w:val="15"/>
            </w:rPr>
            <w:t>4.1.3 污染防治设施第三方运行维护信息</w:t>
          </w:r>
          <w:r>
            <w:tab/>
          </w:r>
          <w:r>
            <w:fldChar w:fldCharType="begin"/>
          </w:r>
          <w:r>
            <w:instrText xml:space="preserve"> PAGEREF _Toc98257190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left="48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"_Toc98257191" </w:instrText>
          </w:r>
          <w:r>
            <w:fldChar w:fldCharType="separate"/>
          </w:r>
          <w:r>
            <w:rPr>
              <w:rStyle w:val="15"/>
            </w:rPr>
            <w:t>4.2 主要水和大气污染物排放相关信息</w:t>
          </w:r>
          <w:r>
            <w:tab/>
          </w:r>
          <w:r>
            <w:fldChar w:fldCharType="begin"/>
          </w:r>
          <w:r>
            <w:instrText xml:space="preserve"> PAGEREF _Toc98257191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left="48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"_Toc98257192" </w:instrText>
          </w:r>
          <w:r>
            <w:fldChar w:fldCharType="separate"/>
          </w:r>
          <w:r>
            <w:rPr>
              <w:rStyle w:val="15"/>
            </w:rPr>
            <w:t>4.3 工业固体废物和危险废物产生、贮存、流向和利用处置信息</w:t>
          </w:r>
          <w:r>
            <w:tab/>
          </w:r>
          <w:r>
            <w:fldChar w:fldCharType="begin"/>
          </w:r>
          <w:r>
            <w:instrText xml:space="preserve"> PAGEREF _Toc98257192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right" w:leader="dot" w:pos="8296"/>
            </w:tabs>
            <w:ind w:left="96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"_Toc98257193" </w:instrText>
          </w:r>
          <w:r>
            <w:fldChar w:fldCharType="separate"/>
          </w:r>
          <w:r>
            <w:rPr>
              <w:rStyle w:val="15"/>
            </w:rPr>
            <w:t>4.3.1 一般工业固体废物产生、贮存、流向和利用处置信息</w:t>
          </w:r>
          <w:r>
            <w:tab/>
          </w:r>
          <w:r>
            <w:fldChar w:fldCharType="begin"/>
          </w:r>
          <w:r>
            <w:instrText xml:space="preserve"> PAGEREF _Toc98257193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right" w:leader="dot" w:pos="8296"/>
            </w:tabs>
            <w:ind w:left="96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"_Toc98257194" </w:instrText>
          </w:r>
          <w:r>
            <w:fldChar w:fldCharType="separate"/>
          </w:r>
          <w:r>
            <w:rPr>
              <w:rStyle w:val="15"/>
            </w:rPr>
            <w:t>4.3.2 危险固体废物产生、贮存、流向和利用处置信息</w:t>
          </w:r>
          <w:r>
            <w:tab/>
          </w:r>
          <w:r>
            <w:fldChar w:fldCharType="begin"/>
          </w:r>
          <w:r>
            <w:instrText xml:space="preserve"> PAGEREF _Toc98257194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left="48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"_Toc98257195" </w:instrText>
          </w:r>
          <w:r>
            <w:fldChar w:fldCharType="separate"/>
          </w:r>
          <w:r>
            <w:rPr>
              <w:rStyle w:val="15"/>
            </w:rPr>
            <w:t>4.4 有毒有害物质排放信息</w:t>
          </w:r>
          <w:r>
            <w:tab/>
          </w:r>
          <w:r>
            <w:fldChar w:fldCharType="begin"/>
          </w:r>
          <w:r>
            <w:instrText xml:space="preserve"> PAGEREF _Toc98257195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left="48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"_Toc98257196" </w:instrText>
          </w:r>
          <w:r>
            <w:fldChar w:fldCharType="separate"/>
          </w:r>
          <w:r>
            <w:rPr>
              <w:rStyle w:val="15"/>
            </w:rPr>
            <w:t>4.5 噪声排放情况</w:t>
          </w:r>
          <w:r>
            <w:tab/>
          </w:r>
          <w:r>
            <w:fldChar w:fldCharType="begin"/>
          </w:r>
          <w:r>
            <w:instrText xml:space="preserve"> PAGEREF _Toc98257196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left="48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"_Toc98257197" </w:instrText>
          </w:r>
          <w:r>
            <w:fldChar w:fldCharType="separate"/>
          </w:r>
          <w:r>
            <w:rPr>
              <w:rStyle w:val="15"/>
            </w:rPr>
            <w:t>4.6 扬尘污染情况</w:t>
          </w:r>
          <w:r>
            <w:tab/>
          </w:r>
          <w:r>
            <w:fldChar w:fldCharType="begin"/>
          </w:r>
          <w:r>
            <w:instrText xml:space="preserve"> PAGEREF _Toc98257197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left="48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"_Toc98257198" </w:instrText>
          </w:r>
          <w:r>
            <w:fldChar w:fldCharType="separate"/>
          </w:r>
          <w:r>
            <w:rPr>
              <w:rStyle w:val="15"/>
            </w:rPr>
            <w:t>4.7 排污许可证执行报告信息</w:t>
          </w:r>
          <w:r>
            <w:tab/>
          </w:r>
          <w:r>
            <w:fldChar w:fldCharType="begin"/>
          </w:r>
          <w:r>
            <w:instrText xml:space="preserve"> PAGEREF _Toc98257198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11"/>
            <w:ind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"_Toc98257199" </w:instrText>
          </w:r>
          <w:r>
            <w:fldChar w:fldCharType="separate"/>
          </w:r>
          <w:r>
            <w:rPr>
              <w:rStyle w:val="15"/>
            </w:rPr>
            <w:t>五、碳排放信息</w:t>
          </w:r>
          <w:r>
            <w:tab/>
          </w:r>
          <w:r>
            <w:fldChar w:fldCharType="begin"/>
          </w:r>
          <w:r>
            <w:instrText xml:space="preserve"> PAGEREF _Toc98257199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11"/>
            <w:ind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"_Toc98257200" </w:instrText>
          </w:r>
          <w:r>
            <w:fldChar w:fldCharType="separate"/>
          </w:r>
          <w:r>
            <w:rPr>
              <w:rStyle w:val="15"/>
            </w:rPr>
            <w:t>六、强制性清洁生产审核信息</w:t>
          </w:r>
          <w:r>
            <w:tab/>
          </w:r>
          <w:r>
            <w:fldChar w:fldCharType="begin"/>
          </w:r>
          <w:r>
            <w:instrText xml:space="preserve"> PAGEREF _Toc98257200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left="48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"_Toc98257201" </w:instrText>
          </w:r>
          <w:r>
            <w:fldChar w:fldCharType="separate"/>
          </w:r>
          <w:r>
            <w:rPr>
              <w:rStyle w:val="15"/>
            </w:rPr>
            <w:t>6.1 实施强制性清洁生产审核的原因</w:t>
          </w:r>
          <w:r>
            <w:tab/>
          </w:r>
          <w:r>
            <w:fldChar w:fldCharType="begin"/>
          </w:r>
          <w:r>
            <w:instrText xml:space="preserve"> PAGEREF _Toc98257201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left="48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"_Toc98257202" </w:instrText>
          </w:r>
          <w:r>
            <w:fldChar w:fldCharType="separate"/>
          </w:r>
          <w:r>
            <w:rPr>
              <w:rStyle w:val="15"/>
            </w:rPr>
            <w:t>6.2 强制性清洁生产审核的实施情况、评估与验收结果</w:t>
          </w:r>
          <w:r>
            <w:tab/>
          </w:r>
          <w:r>
            <w:fldChar w:fldCharType="begin"/>
          </w:r>
          <w:r>
            <w:instrText xml:space="preserve"> PAGEREF _Toc98257202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11"/>
            <w:ind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"_Toc98257203" </w:instrText>
          </w:r>
          <w:r>
            <w:fldChar w:fldCharType="separate"/>
          </w:r>
          <w:r>
            <w:rPr>
              <w:rStyle w:val="15"/>
            </w:rPr>
            <w:t>七、生态环境应急信息</w:t>
          </w:r>
          <w:r>
            <w:tab/>
          </w:r>
          <w:r>
            <w:fldChar w:fldCharType="begin"/>
          </w:r>
          <w:r>
            <w:instrText xml:space="preserve"> PAGEREF _Toc98257203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left="48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"_Toc98257204" </w:instrText>
          </w:r>
          <w:r>
            <w:fldChar w:fldCharType="separate"/>
          </w:r>
          <w:r>
            <w:rPr>
              <w:rStyle w:val="15"/>
            </w:rPr>
            <w:t>7.1 生态环境应急情况</w:t>
          </w:r>
          <w:r>
            <w:tab/>
          </w:r>
          <w:r>
            <w:fldChar w:fldCharType="begin"/>
          </w:r>
          <w:r>
            <w:instrText xml:space="preserve"> PAGEREF _Toc98257204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right" w:leader="dot" w:pos="8296"/>
            </w:tabs>
            <w:ind w:left="96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"_Toc98257205" </w:instrText>
          </w:r>
          <w:r>
            <w:fldChar w:fldCharType="separate"/>
          </w:r>
          <w:r>
            <w:rPr>
              <w:rStyle w:val="15"/>
            </w:rPr>
            <w:t>7.1.1 突发环境事件应急预案</w:t>
          </w:r>
          <w:r>
            <w:tab/>
          </w:r>
          <w:r>
            <w:fldChar w:fldCharType="begin"/>
          </w:r>
          <w:r>
            <w:instrText xml:space="preserve"> PAGEREF _Toc98257205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right" w:leader="dot" w:pos="8296"/>
            </w:tabs>
            <w:ind w:left="96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"_Toc98257206" </w:instrText>
          </w:r>
          <w:r>
            <w:fldChar w:fldCharType="separate"/>
          </w:r>
          <w:r>
            <w:rPr>
              <w:rStyle w:val="15"/>
            </w:rPr>
            <w:t>7.1.2 现有生态环境应急资源</w:t>
          </w:r>
          <w:r>
            <w:tab/>
          </w:r>
          <w:r>
            <w:fldChar w:fldCharType="begin"/>
          </w:r>
          <w:r>
            <w:instrText xml:space="preserve"> PAGEREF _Toc98257206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right" w:leader="dot" w:pos="8296"/>
            </w:tabs>
            <w:ind w:left="96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"_Toc98257207" </w:instrText>
          </w:r>
          <w:r>
            <w:fldChar w:fldCharType="separate"/>
          </w:r>
          <w:r>
            <w:rPr>
              <w:rStyle w:val="15"/>
            </w:rPr>
            <w:t>7.1.3 突发环境事件发生及处置情况</w:t>
          </w:r>
          <w:r>
            <w:tab/>
          </w:r>
          <w:r>
            <w:fldChar w:fldCharType="begin"/>
          </w:r>
          <w:r>
            <w:instrText xml:space="preserve"> PAGEREF _Toc98257207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left="48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"_Toc98257208" </w:instrText>
          </w:r>
          <w:r>
            <w:fldChar w:fldCharType="separate"/>
          </w:r>
          <w:r>
            <w:rPr>
              <w:rStyle w:val="15"/>
            </w:rPr>
            <w:t>7.2 重污染天气应急响应情况</w:t>
          </w:r>
          <w:r>
            <w:tab/>
          </w:r>
          <w:r>
            <w:fldChar w:fldCharType="begin"/>
          </w:r>
          <w:r>
            <w:instrText xml:space="preserve"> PAGEREF _Toc98257208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>
          <w:pPr>
            <w:pStyle w:val="11"/>
            <w:ind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"_Toc98257209" </w:instrText>
          </w:r>
          <w:r>
            <w:fldChar w:fldCharType="separate"/>
          </w:r>
          <w:r>
            <w:rPr>
              <w:rStyle w:val="15"/>
            </w:rPr>
            <w:t>八、生态环境违法信息</w:t>
          </w:r>
          <w:r>
            <w:tab/>
          </w:r>
          <w:r>
            <w:fldChar w:fldCharType="begin"/>
          </w:r>
          <w:r>
            <w:instrText xml:space="preserve"> PAGEREF _Toc98257209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left="48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"_Toc98257210" </w:instrText>
          </w:r>
          <w:r>
            <w:fldChar w:fldCharType="separate"/>
          </w:r>
          <w:r>
            <w:rPr>
              <w:rStyle w:val="15"/>
            </w:rPr>
            <w:t>8.1 生态环境行政处罚信息</w:t>
          </w:r>
          <w:r>
            <w:tab/>
          </w:r>
          <w:r>
            <w:fldChar w:fldCharType="begin"/>
          </w:r>
          <w:r>
            <w:instrText xml:space="preserve"> PAGEREF _Toc98257210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left="48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"_Toc98257211" </w:instrText>
          </w:r>
          <w:r>
            <w:fldChar w:fldCharType="separate"/>
          </w:r>
          <w:r>
            <w:rPr>
              <w:rStyle w:val="15"/>
            </w:rPr>
            <w:t>8.2 生态环境司法判决信息</w:t>
          </w:r>
          <w:r>
            <w:tab/>
          </w:r>
          <w:r>
            <w:fldChar w:fldCharType="begin"/>
          </w:r>
          <w:r>
            <w:instrText xml:space="preserve"> PAGEREF _Toc98257211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>
          <w:pPr>
            <w:pStyle w:val="11"/>
            <w:ind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"_Toc98257212" </w:instrText>
          </w:r>
          <w:r>
            <w:fldChar w:fldCharType="separate"/>
          </w:r>
          <w:r>
            <w:rPr>
              <w:rStyle w:val="15"/>
            </w:rPr>
            <w:t>九、本年度临时报告情况</w:t>
          </w:r>
          <w:r>
            <w:tab/>
          </w:r>
          <w:r>
            <w:fldChar w:fldCharType="begin"/>
          </w:r>
          <w:r>
            <w:instrText xml:space="preserve"> PAGEREF _Toc98257212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>
          <w:pPr>
            <w:pStyle w:val="11"/>
            <w:ind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"_Toc98257213" </w:instrText>
          </w:r>
          <w:r>
            <w:fldChar w:fldCharType="separate"/>
          </w:r>
          <w:r>
            <w:rPr>
              <w:rStyle w:val="15"/>
            </w:rPr>
            <w:t>十、相关投融资的生态环保信息</w:t>
          </w:r>
          <w:r>
            <w:tab/>
          </w:r>
          <w:r>
            <w:fldChar w:fldCharType="begin"/>
          </w:r>
          <w:r>
            <w:instrText xml:space="preserve"> PAGEREF _Toc98257213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left="48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"_Toc98257214" </w:instrText>
          </w:r>
          <w:r>
            <w:fldChar w:fldCharType="separate"/>
          </w:r>
          <w:r>
            <w:rPr>
              <w:rStyle w:val="15"/>
            </w:rPr>
            <w:t>10.1 符合规定情形的上市公司</w:t>
          </w:r>
          <w:r>
            <w:tab/>
          </w:r>
          <w:r>
            <w:fldChar w:fldCharType="begin"/>
          </w:r>
          <w:r>
            <w:instrText xml:space="preserve"> PAGEREF _Toc98257214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right" w:leader="dot" w:pos="8296"/>
            </w:tabs>
            <w:ind w:left="96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"_Toc98257215" </w:instrText>
          </w:r>
          <w:r>
            <w:fldChar w:fldCharType="separate"/>
          </w:r>
          <w:r>
            <w:rPr>
              <w:rStyle w:val="15"/>
            </w:rPr>
            <w:t>10.1.1 融资的形式、金融、投向信息</w:t>
          </w:r>
          <w:r>
            <w:tab/>
          </w:r>
          <w:r>
            <w:fldChar w:fldCharType="begin"/>
          </w:r>
          <w:r>
            <w:instrText xml:space="preserve"> PAGEREF _Toc98257215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right" w:leader="dot" w:pos="8296"/>
            </w:tabs>
            <w:ind w:left="96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"_Toc98257216" </w:instrText>
          </w:r>
          <w:r>
            <w:fldChar w:fldCharType="separate"/>
          </w:r>
          <w:r>
            <w:rPr>
              <w:rStyle w:val="15"/>
            </w:rPr>
            <w:t>10.1.2 融资所投项目的应对气候变化、生态环境保护等相关信息</w:t>
          </w:r>
          <w:r>
            <w:tab/>
          </w:r>
          <w:r>
            <w:fldChar w:fldCharType="begin"/>
          </w:r>
          <w:r>
            <w:instrText xml:space="preserve"> PAGEREF _Toc98257216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12"/>
            <w:tabs>
              <w:tab w:val="right" w:leader="dot" w:pos="8296"/>
            </w:tabs>
            <w:ind w:left="48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"_Toc98257217" </w:instrText>
          </w:r>
          <w:r>
            <w:fldChar w:fldCharType="separate"/>
          </w:r>
          <w:r>
            <w:rPr>
              <w:rStyle w:val="15"/>
            </w:rPr>
            <w:t>10.2 符合规定情形的发债企业</w:t>
          </w:r>
          <w:r>
            <w:tab/>
          </w:r>
          <w:r>
            <w:fldChar w:fldCharType="begin"/>
          </w:r>
          <w:r>
            <w:instrText xml:space="preserve"> PAGEREF _Toc98257217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right" w:leader="dot" w:pos="8296"/>
            </w:tabs>
            <w:ind w:left="96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"_Toc98257218" </w:instrText>
          </w:r>
          <w:r>
            <w:fldChar w:fldCharType="separate"/>
          </w:r>
          <w:r>
            <w:rPr>
              <w:rStyle w:val="15"/>
            </w:rPr>
            <w:t>10.2.1 融资的形式、金融、投向信息</w:t>
          </w:r>
          <w:r>
            <w:tab/>
          </w:r>
          <w:r>
            <w:fldChar w:fldCharType="begin"/>
          </w:r>
          <w:r>
            <w:instrText xml:space="preserve"> PAGEREF _Toc98257218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right" w:leader="dot" w:pos="8296"/>
            </w:tabs>
            <w:ind w:left="960" w:firstLine="480"/>
            <w:rPr>
              <w:rFonts w:eastAsiaTheme="minorEastAsia"/>
              <w:sz w:val="21"/>
            </w:rPr>
          </w:pPr>
          <w:r>
            <w:fldChar w:fldCharType="begin"/>
          </w:r>
          <w:r>
            <w:instrText xml:space="preserve"> HYPERLINK \l "_Toc98257219" </w:instrText>
          </w:r>
          <w:r>
            <w:fldChar w:fldCharType="separate"/>
          </w:r>
          <w:r>
            <w:rPr>
              <w:rStyle w:val="15"/>
            </w:rPr>
            <w:t>10.2.2 融资所投项目的应对气候变化、生态环境保护等相关信息</w:t>
          </w:r>
          <w:r>
            <w:tab/>
          </w:r>
          <w:r>
            <w:fldChar w:fldCharType="begin"/>
          </w:r>
          <w:r>
            <w:instrText xml:space="preserve"> PAGEREF _Toc98257219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tabs>
              <w:tab w:val="left" w:pos="1155"/>
            </w:tabs>
            <w:ind w:firstLine="0" w:firstLineChars="0"/>
          </w:pPr>
          <w:r>
            <w:rPr>
              <w:b/>
              <w:bCs/>
              <w:lang w:val="zh-CN"/>
            </w:rPr>
            <w:fldChar w:fldCharType="end"/>
          </w:r>
          <w:r>
            <w:rPr>
              <w:b/>
              <w:bCs/>
              <w:lang w:val="zh-CN"/>
            </w:rPr>
            <w:tab/>
          </w:r>
        </w:p>
      </w:sdtContent>
    </w:sdt>
    <w:p>
      <w:pPr>
        <w:pStyle w:val="3"/>
      </w:pPr>
      <w:bookmarkStart w:id="2" w:name="_Toc98257179"/>
      <w:r>
        <w:rPr>
          <w:rFonts w:hint="eastAsia"/>
        </w:rPr>
        <w:t>一、企业关键环境信息提要</w:t>
      </w:r>
      <w:bookmarkEnd w:id="2"/>
    </w:p>
    <w:p>
      <w:pPr>
        <w:ind w:firstLine="480"/>
      </w:pPr>
    </w:p>
    <w:p>
      <w:pPr>
        <w:ind w:firstLine="480"/>
      </w:pPr>
      <w:r>
        <w:rPr>
          <w:rFonts w:hint="eastAsia"/>
        </w:rPr>
        <w:t>该部分内容，企业根据本年度的环境信息，重点阐述三方面的内容</w:t>
      </w:r>
    </w:p>
    <w:p>
      <w:pPr>
        <w:widowControl/>
        <w:spacing w:line="450" w:lineRule="atLeast"/>
        <w:ind w:firstLine="480"/>
        <w:jc w:val="left"/>
      </w:pP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1.企业本年度生态环境行政许可变更情况，包括新获得、变更、延续、撤销和正在申请等情况；</w:t>
      </w:r>
    </w:p>
    <w:p>
      <w:pPr>
        <w:widowControl/>
        <w:spacing w:line="450" w:lineRule="atLeast"/>
        <w:ind w:firstLine="480"/>
        <w:jc w:val="left"/>
      </w:pPr>
      <w:r>
        <w:t xml:space="preserve">  </w:t>
      </w:r>
      <w:r>
        <w:rPr>
          <w:rFonts w:hint="eastAsia"/>
        </w:rPr>
        <w:t>2.企业本年度主要污染物排放和碳排放情况，包括各种污染物的实际排放量，工业固体废物和危险废物的产生量及利用处置量，有毒有害物质的排放量，碳排放量等；</w:t>
      </w:r>
    </w:p>
    <w:p>
      <w:pPr>
        <w:ind w:firstLine="480"/>
      </w:pP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3.本年度受到的生态环境行政处罚/司法判决等情况</w:t>
      </w:r>
    </w:p>
    <w:p>
      <w:pPr>
        <w:ind w:firstLine="480"/>
      </w:pPr>
    </w:p>
    <w:p>
      <w:pPr>
        <w:pStyle w:val="4"/>
        <w:ind w:firstLine="562"/>
      </w:pPr>
      <w:r>
        <w:br w:type="page"/>
      </w:r>
    </w:p>
    <w:p>
      <w:pPr>
        <w:pStyle w:val="3"/>
        <w:ind w:firstLine="643"/>
      </w:pPr>
      <w:bookmarkStart w:id="3" w:name="_Toc98257180"/>
      <w:r>
        <w:rPr>
          <w:rFonts w:hint="eastAsia"/>
        </w:rPr>
        <w:t>二、企业基本信息</w:t>
      </w:r>
      <w:bookmarkEnd w:id="3"/>
    </w:p>
    <w:tbl>
      <w:tblPr>
        <w:tblStyle w:val="1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559"/>
        <w:gridCol w:w="621"/>
        <w:gridCol w:w="655"/>
        <w:gridCol w:w="1526"/>
        <w:gridCol w:w="21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1"/>
                <w:szCs w:val="21"/>
              </w:rPr>
            </w:pPr>
            <w:bookmarkStart w:id="4" w:name="_Hlk38614124"/>
            <w:bookmarkStart w:id="5" w:name="_Hlk71896300"/>
            <w:r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  <w:t>企业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654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/>
                <w:shd w:val="clear" w:color="auto" w:fill="FFFFFF"/>
                <w:lang w:val="en-US" w:eastAsia="zh-CN"/>
              </w:rPr>
              <w:t>浙江涵普电力科技有限公司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9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  <w:t>法定代表人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both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lang w:eastAsia="zh-CN"/>
              </w:rPr>
              <w:t>王祥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  <w:t>注册地址</w:t>
            </w:r>
          </w:p>
        </w:tc>
        <w:tc>
          <w:tcPr>
            <w:tcW w:w="370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both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lang w:eastAsia="zh-CN"/>
              </w:rPr>
              <w:t>浙江省嘉兴市海盐县武原街道长安北路678号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9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  <w:t>行业类别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both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lang w:val="en-US" w:eastAsia="zh-CN"/>
              </w:rPr>
              <w:t>3829其他输配电及控制设备制造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  <w:t>生产地址</w:t>
            </w:r>
          </w:p>
        </w:tc>
        <w:tc>
          <w:tcPr>
            <w:tcW w:w="370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both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浙江省嘉兴市海盐县武原街道长安北路678号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  <w:t>联系人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both"/>
              <w:rPr>
                <w:rFonts w:hint="eastAsia" w:ascii="宋体" w:hAnsi="宋体" w:eastAsia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许俊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eastAsia" w:ascii="Times New Roman" w:hAnsi="Times New Roman" w:eastAsia="仿宋_GB2312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370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13656602339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  <w:t>企业性质</w:t>
            </w:r>
          </w:p>
        </w:tc>
        <w:tc>
          <w:tcPr>
            <w:tcW w:w="654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eastAsia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内资（□国有□集体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sym w:font="Wingdings 2" w:char="0052"/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民营）□中外合资□港澳台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外商独资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  <w:t>上市公司</w:t>
            </w:r>
          </w:p>
        </w:tc>
        <w:tc>
          <w:tcPr>
            <w:tcW w:w="218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sym w:font="Wingdings 2" w:char="0052"/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否</w:t>
            </w:r>
          </w:p>
        </w:tc>
        <w:tc>
          <w:tcPr>
            <w:tcW w:w="218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2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  <w:t>发债公司</w:t>
            </w:r>
          </w:p>
        </w:tc>
        <w:tc>
          <w:tcPr>
            <w:tcW w:w="21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sym w:font="Wingdings 2" w:char="0052"/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  <w:t>重点排污单位</w:t>
            </w:r>
          </w:p>
        </w:tc>
        <w:tc>
          <w:tcPr>
            <w:tcW w:w="218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sym w:font="Wingdings 2" w:char="0052"/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否</w:t>
            </w:r>
          </w:p>
        </w:tc>
        <w:tc>
          <w:tcPr>
            <w:tcW w:w="218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  <w:t>实施强制性清洁生产审核的企业</w:t>
            </w:r>
          </w:p>
        </w:tc>
        <w:tc>
          <w:tcPr>
            <w:tcW w:w="21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□是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sym w:font="Wingdings 2" w:char="0052"/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9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  <w:t>主要产品与服务</w:t>
            </w:r>
          </w:p>
        </w:tc>
        <w:tc>
          <w:tcPr>
            <w:tcW w:w="654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/>
              <w:jc w:val="left"/>
              <w:rPr>
                <w:rFonts w:hint="eastAsia" w:ascii="Times New Roman" w:hAnsi="Times New Roman" w:eastAsia="仿宋_GB2312" w:cs="Times New Roman"/>
                <w:szCs w:val="21"/>
              </w:rPr>
            </w:pPr>
            <w:r>
              <w:rPr>
                <w:rFonts w:hint="eastAsia"/>
                <w:shd w:val="clear" w:color="auto" w:fill="FFFFFF"/>
                <w:lang w:val="en-US" w:eastAsia="zh-CN"/>
              </w:rPr>
              <w:t>浙江涵普是一家国家级高新技术企业。企业先后建立了“浙江省高新技术企业研发中心”和“浙江省涵普智能电测技术研究院”，长期致力于电力系统自动化、电能计量、智能配电技术、高低压成套电气设备的研究和创新，并为客户提供相关问题的成套解决方案。公司旗下拥有“涵普”、“普博”两大知名品牌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Cs w:val="21"/>
              </w:rPr>
              <w:t>生产工艺</w:t>
            </w:r>
          </w:p>
        </w:tc>
        <w:tc>
          <w:tcPr>
            <w:tcW w:w="654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eastAsia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3680460" cy="4954270"/>
                  <wp:effectExtent l="0" t="0" r="2540" b="11430"/>
                  <wp:docPr id="79" name="图片 79" descr="生产工艺流程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图片 79" descr="生产工艺流程图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0460" cy="4954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 w:firstLineChars="0"/>
              <w:rPr>
                <w:rFonts w:hint="eastAsia" w:ascii="Times New Roman" w:hAnsi="Times New Roman" w:eastAsia="仿宋_GB2312" w:cs="Times New Roman"/>
                <w:sz w:val="21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both"/>
              <w:rPr>
                <w:rFonts w:hint="eastAsia" w:ascii="Times New Roman" w:hAnsi="Times New Roman" w:eastAsia="仿宋_GB2312" w:cs="Times New Roman"/>
                <w:szCs w:val="21"/>
              </w:rPr>
            </w:pPr>
          </w:p>
        </w:tc>
      </w:tr>
      <w:bookmarkEnd w:id="4"/>
      <w:bookmarkEnd w:id="5"/>
    </w:tbl>
    <w:p>
      <w:bookmarkStart w:id="6" w:name="_GoBack"/>
      <w:bookmarkEnd w:id="6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  <w:jc w:val="center"/>
    </w:pPr>
  </w:p>
  <w:p>
    <w:pPr>
      <w:pStyle w:val="1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MjdjZjQ3NjNiYTliZDVjMDNmNDY2ZWYxNDQ3ZmIifQ=="/>
  </w:docVars>
  <w:rsids>
    <w:rsidRoot w:val="4F713B06"/>
    <w:rsid w:val="008E48D0"/>
    <w:rsid w:val="01D136DF"/>
    <w:rsid w:val="039167AA"/>
    <w:rsid w:val="08386949"/>
    <w:rsid w:val="08AB36F4"/>
    <w:rsid w:val="0B990B02"/>
    <w:rsid w:val="0C055273"/>
    <w:rsid w:val="11821043"/>
    <w:rsid w:val="2F092B37"/>
    <w:rsid w:val="38200455"/>
    <w:rsid w:val="3D2C4499"/>
    <w:rsid w:val="46EA132F"/>
    <w:rsid w:val="4B745BDC"/>
    <w:rsid w:val="4BC06406"/>
    <w:rsid w:val="4F713B06"/>
    <w:rsid w:val="519409D8"/>
    <w:rsid w:val="5C19246D"/>
    <w:rsid w:val="5ED61D5B"/>
    <w:rsid w:val="672167EE"/>
    <w:rsid w:val="726F6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outlineLvl w:val="0"/>
    </w:pPr>
    <w:rPr>
      <w:rFonts w:ascii="Times New Roman" w:hAnsi="Times New Roman" w:eastAsia="仿宋_GB2312" w:cs="Arial"/>
      <w:b/>
      <w:color w:val="000000"/>
      <w:kern w:val="44"/>
      <w:sz w:val="30"/>
    </w:rPr>
  </w:style>
  <w:style w:type="paragraph" w:styleId="4">
    <w:name w:val="heading 2"/>
    <w:basedOn w:val="1"/>
    <w:next w:val="1"/>
    <w:link w:val="16"/>
    <w:semiHidden/>
    <w:unhideWhenUsed/>
    <w:qFormat/>
    <w:uiPriority w:val="0"/>
    <w:pPr>
      <w:keepNext/>
      <w:keepLines/>
      <w:spacing w:line="360" w:lineRule="auto"/>
      <w:ind w:firstLine="0" w:firstLineChars="0"/>
      <w:outlineLvl w:val="1"/>
    </w:pPr>
    <w:rPr>
      <w:rFonts w:ascii="Cambria" w:hAnsi="Cambria" w:eastAsia="宋体" w:cs="Times New Roman"/>
      <w:b/>
      <w:bCs/>
      <w:sz w:val="28"/>
      <w:szCs w:val="32"/>
    </w:rPr>
  </w:style>
  <w:style w:type="paragraph" w:styleId="5">
    <w:name w:val="heading 3"/>
    <w:basedOn w:val="1"/>
    <w:next w:val="1"/>
    <w:link w:val="20"/>
    <w:semiHidden/>
    <w:unhideWhenUsed/>
    <w:qFormat/>
    <w:uiPriority w:val="0"/>
    <w:pPr>
      <w:keepNext/>
      <w:keepLines/>
      <w:spacing w:line="360" w:lineRule="auto"/>
      <w:outlineLvl w:val="2"/>
    </w:pPr>
    <w:rPr>
      <w:rFonts w:ascii="宋体" w:hAnsi="宋体" w:eastAsia="宋体" w:cs="宋体"/>
      <w:b/>
      <w:bCs/>
      <w:sz w:val="32"/>
      <w:szCs w:val="32"/>
    </w:rPr>
  </w:style>
  <w:style w:type="paragraph" w:styleId="6">
    <w:name w:val="heading 4"/>
    <w:basedOn w:val="1"/>
    <w:next w:val="1"/>
    <w:link w:val="19"/>
    <w:semiHidden/>
    <w:unhideWhenUsed/>
    <w:qFormat/>
    <w:uiPriority w:val="0"/>
    <w:pPr>
      <w:keepNext/>
      <w:keepLines/>
      <w:spacing w:line="360" w:lineRule="auto"/>
      <w:outlineLvl w:val="3"/>
    </w:pPr>
    <w:rPr>
      <w:rFonts w:ascii="Cambria" w:hAnsi="Cambria" w:eastAsia="宋体" w:cs="Times New Roman"/>
      <w:b/>
      <w:bCs/>
      <w:sz w:val="24"/>
      <w:szCs w:val="28"/>
    </w:rPr>
  </w:style>
  <w:style w:type="paragraph" w:styleId="7">
    <w:name w:val="heading 5"/>
    <w:basedOn w:val="1"/>
    <w:next w:val="1"/>
    <w:link w:val="18"/>
    <w:semiHidden/>
    <w:unhideWhenUsed/>
    <w:qFormat/>
    <w:uiPriority w:val="0"/>
    <w:pPr>
      <w:keepNext/>
      <w:keepLines/>
      <w:spacing w:line="360" w:lineRule="auto"/>
      <w:outlineLvl w:val="4"/>
    </w:pPr>
    <w:rPr>
      <w:rFonts w:ascii="宋体" w:hAnsi="宋体" w:eastAsia="宋体" w:cs="宋体"/>
      <w:b/>
      <w:sz w:val="24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8">
    <w:name w:val="Body Text Indent"/>
    <w:basedOn w:val="1"/>
    <w:link w:val="17"/>
    <w:qFormat/>
    <w:uiPriority w:val="0"/>
    <w:pPr>
      <w:spacing w:after="120"/>
      <w:ind w:left="420" w:leftChars="200"/>
    </w:pPr>
    <w:rPr>
      <w:sz w:val="24"/>
    </w:rPr>
  </w:style>
  <w:style w:type="paragraph" w:styleId="9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0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  <w:pPr>
      <w:tabs>
        <w:tab w:val="right" w:leader="dot" w:pos="8296"/>
      </w:tabs>
    </w:pPr>
  </w:style>
  <w:style w:type="paragraph" w:styleId="12">
    <w:name w:val="toc 2"/>
    <w:basedOn w:val="1"/>
    <w:next w:val="1"/>
    <w:unhideWhenUsed/>
    <w:qFormat/>
    <w:uiPriority w:val="39"/>
    <w:pPr>
      <w:ind w:left="420" w:leftChars="200"/>
    </w:pPr>
  </w:style>
  <w:style w:type="character" w:styleId="15">
    <w:name w:val="Hyperlink"/>
    <w:basedOn w:val="14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标题 2 字符"/>
    <w:link w:val="4"/>
    <w:qFormat/>
    <w:locked/>
    <w:uiPriority w:val="99"/>
    <w:rPr>
      <w:rFonts w:ascii="Cambria" w:hAnsi="Cambria" w:eastAsia="宋体" w:cs="Times New Roman"/>
      <w:b/>
      <w:bCs/>
      <w:kern w:val="2"/>
      <w:sz w:val="32"/>
      <w:szCs w:val="32"/>
    </w:rPr>
  </w:style>
  <w:style w:type="character" w:customStyle="1" w:styleId="17">
    <w:name w:val="正文文本缩进 字符"/>
    <w:basedOn w:val="14"/>
    <w:link w:val="8"/>
    <w:qFormat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8">
    <w:name w:val="标题 5 字符"/>
    <w:basedOn w:val="14"/>
    <w:link w:val="7"/>
    <w:qFormat/>
    <w:uiPriority w:val="0"/>
    <w:rPr>
      <w:rFonts w:ascii="宋体" w:hAnsi="宋体" w:eastAsia="宋体" w:cs="宋体"/>
      <w:b/>
      <w:kern w:val="2"/>
      <w:sz w:val="24"/>
      <w:szCs w:val="22"/>
    </w:rPr>
  </w:style>
  <w:style w:type="character" w:customStyle="1" w:styleId="19">
    <w:name w:val="标题 4 字符"/>
    <w:link w:val="6"/>
    <w:qFormat/>
    <w:locked/>
    <w:uiPriority w:val="99"/>
    <w:rPr>
      <w:rFonts w:ascii="Cambria" w:hAnsi="Cambria" w:eastAsia="宋体" w:cs="Times New Roman"/>
      <w:b/>
      <w:bCs/>
      <w:kern w:val="2"/>
      <w:sz w:val="24"/>
      <w:szCs w:val="28"/>
    </w:rPr>
  </w:style>
  <w:style w:type="character" w:customStyle="1" w:styleId="20">
    <w:name w:val="标题 3 字符"/>
    <w:link w:val="5"/>
    <w:qFormat/>
    <w:locked/>
    <w:uiPriority w:val="99"/>
    <w:rPr>
      <w:rFonts w:ascii="宋体" w:hAnsi="宋体" w:eastAsia="宋体" w:cs="宋体"/>
      <w:b/>
      <w:bCs/>
      <w:kern w:val="2"/>
      <w:sz w:val="32"/>
      <w:szCs w:val="32"/>
    </w:rPr>
  </w:style>
  <w:style w:type="paragraph" w:customStyle="1" w:styleId="21">
    <w:name w:val="TOC Heading"/>
    <w:basedOn w:val="3"/>
    <w:next w:val="1"/>
    <w:unhideWhenUsed/>
    <w:qFormat/>
    <w:uiPriority w:val="39"/>
    <w:pPr>
      <w:widowControl/>
      <w:spacing w:before="240" w:line="259" w:lineRule="auto"/>
      <w:outlineLvl w:val="9"/>
    </w:pPr>
    <w:rPr>
      <w:rFonts w:asciiTheme="majorHAnsi" w:hAnsiTheme="majorHAnsi" w:eastAsiaTheme="majorEastAsia" w:cstheme="majorBidi"/>
      <w:b w:val="0"/>
      <w:color w:val="2E54A1" w:themeColor="accent1" w:themeShade="BF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2024-06-13T07:47:00Z</dcterms:created>
  <dc:creator>枯风</dc:creator>
  <cp:lastModifiedBy>枯风</cp:lastModifiedBy>
  <dcterms:modified xsi:type="dcterms:W3CDTF">2024-06-13T07:47:57Z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1C78A5DF438C40EEACCE3301A0B6C774_11</vt:lpwstr>
  </property>
</Properties>
</file>